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Stull Steven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CORPAY, INC.</w:t>
              </w:r>
            </w:hyperlink>
            <w:r>
              <w:rPr/>
              <w:t xml:space="preserve"> [ </w:t>
            </w:r>
            <w:r>
              <w:rPr>
                <w:rFonts w:ascii="Times;serif" w:hAnsi="Times;serif"/>
                <w:color w:val="0000FF"/>
                <w:sz w:val="24"/>
                <w:shd w:fill="FFFFFF" w:val="clear"/>
              </w:rPr>
              <w:t>CPAY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412.9118</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413.6695</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21,830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414.615</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Funds</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sale price. The range of prices for such transaction is $412.34 to $413.31.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sale price. The range of prices for such transaction is $413.35 to $414.26.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The range of prices for such transaction is $414.38 to $415.27. Open market sale transactions were made on the same day at different prices through a trade order executed by a broker-dealer. The reporting person has reported on a single line all such transactions that occurred within a one dollar price range. The reporting person hereby undertakes to provide upon request by the Securities and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has shared voting power with respect to shares held by Advantage Capital Financial Company, LLC and related entities and may be deemed to beneficially own such shares. Reporting person disclaims beneficial ownership in the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Williams, under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565" TargetMode="External"/><Relationship Id="rId5" Type="http://schemas.openxmlformats.org/officeDocument/2006/relationships/hyperlink" Target="http://www.sec.gov/cgi-bin/browse-edgar?action=getcompany&amp;CIK=0001175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4913</Characters>
  <CharactersWithSpaces>5744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