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King Alan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3280 PEACHTREE RD 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UNIT 2400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CORPAY,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CPAY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GroupPresident IntlVehiclePmts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86"/>
        <w:gridCol w:w="931"/>
        <w:gridCol w:w="799"/>
        <w:gridCol w:w="618"/>
        <w:gridCol w:w="347"/>
        <w:gridCol w:w="829"/>
        <w:gridCol w:w="433"/>
        <w:gridCol w:w="1102"/>
        <w:gridCol w:w="1140"/>
        <w:gridCol w:w="986"/>
        <w:gridCol w:w="93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8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6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8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3,805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416.6085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20,732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the weighted average sale price. The range of prices for such transaction is $416.50 to $417.31. Open market sale transactions were made on the same day at different prices through a trade order executed by a broker-dealer. The reporting person has reported on a single line all such transactions that occurred within a one dollar price range. The reporting person hereby undertakes to provide upon request by the Securities and Exchange Commission staff, the issuer or a shareholder of the issuer, full information regarding the number of shares sold at each separate price.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Crystal Williams, under a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81825" TargetMode="External"/><Relationship Id="rId5" Type="http://schemas.openxmlformats.org/officeDocument/2006/relationships/hyperlink" Target="http://www.sec.gov/cgi-bin/browse-edgar?action=getcompany&amp;CIK=000117545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661</Words>
  <Characters>3578</Characters>
  <CharactersWithSpaces>4171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